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40B3BA-1D3C-4F74-86EE-48439A38DD56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