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22B4B3-D4CB-4767-A999-1125E166B606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